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FZXiaoBiaoSong-B05S" w:hAnsi="FZXiaoBiaoSong-B05S" w:eastAsia="FZXiaoBiaoSong-B05S"/>
          <w:color w:val="000000"/>
          <w:sz w:val="36"/>
        </w:rPr>
      </w:pPr>
      <w:r>
        <w:rPr>
          <w:rFonts w:hint="eastAsia" w:ascii="FZXiaoBiaoSong-B05S" w:hAnsi="FZXiaoBiaoSong-B05S" w:eastAsia="FZXiaoBiaoSong-B05S"/>
          <w:color w:val="000000"/>
          <w:sz w:val="36"/>
        </w:rPr>
        <w:t>2018年度教育部人文社会科学研究专项任务项目</w:t>
      </w:r>
    </w:p>
    <w:p>
      <w:pPr>
        <w:spacing w:beforeLines="0" w:afterLines="0"/>
        <w:jc w:val="center"/>
        <w:rPr>
          <w:rFonts w:hint="eastAsia" w:ascii="FZXiaoBiaoSong-B05S" w:hAnsi="FZXiaoBiaoSong-B05S" w:eastAsia="FZXiaoBiaoSong-B05S"/>
          <w:color w:val="000000"/>
          <w:sz w:val="36"/>
        </w:rPr>
      </w:pPr>
      <w:r>
        <w:rPr>
          <w:rFonts w:hint="eastAsia" w:ascii="FZXiaoBiaoSong-B05S" w:hAnsi="FZXiaoBiaoSong-B05S" w:eastAsia="FZXiaoBiaoSong-B05S"/>
          <w:color w:val="000000"/>
          <w:sz w:val="36"/>
          <w:lang w:eastAsia="zh-CN"/>
        </w:rPr>
        <w:t>（</w:t>
      </w:r>
      <w:r>
        <w:rPr>
          <w:rFonts w:hint="eastAsia" w:ascii="FZXiaoBiaoSong-B05S" w:hAnsi="FZXiaoBiaoSong-B05S" w:eastAsia="FZXiaoBiaoSong-B05S"/>
          <w:color w:val="000000"/>
          <w:sz w:val="36"/>
        </w:rPr>
        <w:t>工程科技人才培养研究）课题指南</w:t>
      </w:r>
    </w:p>
    <w:p>
      <w:pPr>
        <w:spacing w:beforeLines="0" w:afterLines="0"/>
        <w:jc w:val="left"/>
        <w:rPr>
          <w:rFonts w:hint="eastAsia" w:ascii="黑体" w:hAnsi="黑体" w:eastAsia="黑体"/>
          <w:color w:val="000000"/>
          <w:sz w:val="32"/>
        </w:rPr>
      </w:pPr>
      <w:r>
        <w:rPr>
          <w:rFonts w:hint="eastAsia" w:ascii="黑体" w:hAnsi="黑体" w:eastAsia="黑体"/>
          <w:color w:val="000000"/>
          <w:sz w:val="32"/>
        </w:rPr>
        <w:t>1.新时代工程科技人才培养战略研究</w:t>
      </w:r>
    </w:p>
    <w:p>
      <w:pPr>
        <w:spacing w:beforeLines="0" w:afterLines="0"/>
        <w:jc w:val="left"/>
        <w:rPr>
          <w:rFonts w:hint="eastAsia" w:ascii="仿宋" w:hAnsi="仿宋" w:eastAsia="仿宋"/>
          <w:color w:val="000000"/>
          <w:sz w:val="32"/>
        </w:rPr>
      </w:pPr>
      <w:r>
        <w:rPr>
          <w:rFonts w:hint="eastAsia" w:ascii="黑体" w:hAnsi="黑体" w:eastAsia="黑体"/>
          <w:color w:val="000000"/>
          <w:sz w:val="32"/>
        </w:rPr>
        <w:t>研究内容</w:t>
      </w:r>
      <w:r>
        <w:rPr>
          <w:rFonts w:hint="eastAsia" w:ascii="仿宋" w:hAnsi="仿宋" w:eastAsia="仿宋"/>
          <w:color w:val="000000"/>
          <w:sz w:val="32"/>
        </w:rPr>
        <w:t>：中国特色社会主义进入新时代，需要针对培育新增长点、形成新动能对工程科技人才提出的新要求，探索和总结我国新型工科（传统工科的改造升级）和新生工科（多学科的交叉融合孕育生成）的学科专业新结构、新质量和新模式，在工程教育本科专业设置研究、工科学生学业评价方法研究、工科学生跨学科培养等方向为教育部门和各类高等学校制定和探索新型工科人才培养发展战略提出相关政策建议。对服务科教兴国、人才强国、创新驱动发展、乡村振兴、区域协调发展、可持续发展、军民融合发展等国家重大战略的工程科技人才培养体系建设提出相关政策建议。</w:t>
      </w:r>
    </w:p>
    <w:p>
      <w:pPr>
        <w:spacing w:beforeLines="0" w:afterLines="0"/>
        <w:jc w:val="left"/>
        <w:rPr>
          <w:rFonts w:hint="eastAsia" w:ascii="黑体" w:hAnsi="黑体" w:eastAsia="黑体"/>
          <w:color w:val="000000"/>
          <w:sz w:val="32"/>
        </w:rPr>
      </w:pPr>
      <w:r>
        <w:rPr>
          <w:rFonts w:hint="eastAsia" w:ascii="黑体" w:hAnsi="黑体" w:eastAsia="黑体"/>
          <w:color w:val="000000"/>
          <w:sz w:val="32"/>
        </w:rPr>
        <w:t>2.面向2035的中国工程科技人才能力标准体系研究</w:t>
      </w:r>
    </w:p>
    <w:p>
      <w:pPr>
        <w:spacing w:beforeLines="0" w:afterLines="0"/>
        <w:jc w:val="left"/>
        <w:rPr>
          <w:rFonts w:hint="eastAsia" w:ascii="仿宋" w:hAnsi="仿宋" w:eastAsia="仿宋"/>
          <w:color w:val="000000"/>
          <w:sz w:val="32"/>
        </w:rPr>
      </w:pPr>
      <w:r>
        <w:rPr>
          <w:rFonts w:hint="eastAsia" w:ascii="黑体" w:hAnsi="黑体" w:eastAsia="黑体"/>
          <w:color w:val="000000"/>
          <w:sz w:val="32"/>
        </w:rPr>
        <w:t>研究内容：</w:t>
      </w:r>
      <w:r>
        <w:rPr>
          <w:rFonts w:hint="eastAsia" w:ascii="仿宋" w:hAnsi="仿宋" w:eastAsia="仿宋"/>
          <w:color w:val="000000"/>
          <w:sz w:val="32"/>
        </w:rPr>
        <w:t>党的十九大报告指出，要建设现代化经济体系，不断增强我国经济创新力和竞争力，到2035年基本实现现代化。因而，需要构建面向2035的工程科技人才能力特征与培养标准。本方向旨在深入探究我国工程科技人才培养标准的独特性与国际性，创新科教融合和产教融合模式，探索构建中国特色的分层次分类型的工程科技人才职业能力特征模型与职业资格鉴定体系，对我国新一代工程师的培</w:t>
      </w:r>
    </w:p>
    <w:p>
      <w:pPr>
        <w:pageBreakBefore/>
        <w:spacing w:beforeLines="0" w:afterLines="0"/>
        <w:jc w:val="left"/>
        <w:rPr>
          <w:rFonts w:hint="eastAsia" w:ascii="仿宋" w:hAnsi="仿宋" w:eastAsia="仿宋"/>
          <w:color w:val="000000"/>
          <w:sz w:val="32"/>
        </w:rPr>
      </w:pPr>
      <w:r>
        <w:rPr>
          <w:rFonts w:hint="eastAsia" w:ascii="仿宋" w:hAnsi="仿宋" w:eastAsia="仿宋"/>
          <w:color w:val="000000"/>
          <w:sz w:val="32"/>
        </w:rPr>
        <w:t>养理念、课程体系、质量标准、评价体系等展开研究并提出政策建议。</w:t>
      </w:r>
    </w:p>
    <w:p>
      <w:pPr>
        <w:spacing w:beforeLines="0" w:afterLines="0"/>
        <w:jc w:val="left"/>
        <w:rPr>
          <w:rFonts w:hint="eastAsia" w:ascii="黑体" w:hAnsi="黑体" w:eastAsia="黑体"/>
          <w:color w:val="000000"/>
          <w:sz w:val="32"/>
        </w:rPr>
      </w:pPr>
      <w:r>
        <w:rPr>
          <w:rFonts w:hint="eastAsia" w:ascii="黑体" w:hAnsi="黑体" w:eastAsia="黑体"/>
          <w:color w:val="000000"/>
          <w:sz w:val="32"/>
        </w:rPr>
        <w:t>3.</w:t>
      </w:r>
      <w:r>
        <w:rPr>
          <w:rFonts w:hint="default" w:ascii="黑体" w:hAnsi="黑体" w:eastAsia="黑体"/>
          <w:color w:val="000000"/>
          <w:sz w:val="32"/>
        </w:rPr>
        <w:t>“</w:t>
      </w:r>
      <w:r>
        <w:rPr>
          <w:rFonts w:hint="eastAsia" w:ascii="黑体" w:hAnsi="黑体" w:eastAsia="黑体"/>
          <w:color w:val="000000"/>
          <w:sz w:val="32"/>
        </w:rPr>
        <w:t>双一流</w:t>
      </w:r>
      <w:r>
        <w:rPr>
          <w:rFonts w:hint="default" w:ascii="黑体" w:hAnsi="黑体" w:eastAsia="黑体"/>
          <w:color w:val="000000"/>
          <w:sz w:val="32"/>
        </w:rPr>
        <w:t>”</w:t>
      </w:r>
      <w:r>
        <w:rPr>
          <w:rFonts w:hint="eastAsia" w:ascii="黑体" w:hAnsi="黑体" w:eastAsia="黑体"/>
          <w:color w:val="000000"/>
          <w:sz w:val="32"/>
        </w:rPr>
        <w:t>建设过程中工程学科的发展战略研究</w:t>
      </w:r>
    </w:p>
    <w:p>
      <w:pPr>
        <w:spacing w:beforeLines="0" w:afterLines="0"/>
        <w:jc w:val="left"/>
        <w:rPr>
          <w:rFonts w:hint="eastAsia" w:ascii="仿宋" w:hAnsi="仿宋" w:eastAsia="仿宋"/>
          <w:color w:val="000000"/>
          <w:sz w:val="32"/>
        </w:rPr>
      </w:pPr>
      <w:r>
        <w:rPr>
          <w:rFonts w:hint="eastAsia" w:ascii="黑体" w:hAnsi="黑体" w:eastAsia="黑体"/>
          <w:color w:val="000000"/>
          <w:sz w:val="32"/>
        </w:rPr>
        <w:t>研究内容：</w:t>
      </w:r>
      <w:r>
        <w:rPr>
          <w:rFonts w:hint="eastAsia" w:ascii="仿宋" w:hAnsi="仿宋" w:eastAsia="仿宋"/>
          <w:color w:val="000000"/>
          <w:sz w:val="32"/>
        </w:rPr>
        <w:t>探索</w:t>
      </w:r>
      <w:r>
        <w:rPr>
          <w:rFonts w:hint="default" w:ascii="仿宋" w:hAnsi="仿宋" w:eastAsia="仿宋"/>
          <w:color w:val="000000"/>
          <w:sz w:val="32"/>
        </w:rPr>
        <w:t>“</w:t>
      </w:r>
      <w:r>
        <w:rPr>
          <w:rFonts w:hint="eastAsia" w:ascii="仿宋" w:hAnsi="仿宋" w:eastAsia="仿宋"/>
          <w:color w:val="000000"/>
          <w:sz w:val="32"/>
        </w:rPr>
        <w:t>双一流</w:t>
      </w:r>
      <w:r>
        <w:rPr>
          <w:rFonts w:hint="default" w:ascii="仿宋" w:hAnsi="仿宋" w:eastAsia="仿宋"/>
          <w:color w:val="000000"/>
          <w:sz w:val="32"/>
        </w:rPr>
        <w:t>”</w:t>
      </w:r>
      <w:r>
        <w:rPr>
          <w:rFonts w:hint="eastAsia" w:ascii="仿宋" w:hAnsi="仿宋" w:eastAsia="仿宋"/>
          <w:color w:val="000000"/>
          <w:sz w:val="32"/>
        </w:rPr>
        <w:t>背景下我国高等工程教育内涵式改革的路径。运用工程教育投入产出评价模型，分析我国各类高校工程学科的优势和不足；</w:t>
      </w:r>
      <w:r>
        <w:rPr>
          <w:rFonts w:hint="default" w:ascii="仿宋" w:hAnsi="仿宋" w:eastAsia="仿宋"/>
          <w:color w:val="000000"/>
          <w:sz w:val="32"/>
        </w:rPr>
        <w:t>“</w:t>
      </w:r>
      <w:r>
        <w:rPr>
          <w:rFonts w:hint="eastAsia" w:ascii="仿宋" w:hAnsi="仿宋" w:eastAsia="仿宋"/>
          <w:color w:val="000000"/>
          <w:sz w:val="32"/>
        </w:rPr>
        <w:t>双一流</w:t>
      </w:r>
      <w:r>
        <w:rPr>
          <w:rFonts w:hint="default" w:ascii="仿宋" w:hAnsi="仿宋" w:eastAsia="仿宋"/>
          <w:color w:val="000000"/>
          <w:sz w:val="32"/>
        </w:rPr>
        <w:t>”</w:t>
      </w:r>
      <w:r>
        <w:rPr>
          <w:rFonts w:hint="eastAsia" w:ascii="仿宋" w:hAnsi="仿宋" w:eastAsia="仿宋"/>
          <w:color w:val="000000"/>
          <w:sz w:val="32"/>
        </w:rPr>
        <w:t>建设中的国家目标与重点建设的工科院校/专业发展目标之间的关系;调整学科战略布局，优化工程学科结构；工科</w:t>
      </w:r>
      <w:r>
        <w:rPr>
          <w:rFonts w:hint="default" w:ascii="仿宋" w:hAnsi="仿宋" w:eastAsia="仿宋"/>
          <w:color w:val="000000"/>
          <w:sz w:val="32"/>
        </w:rPr>
        <w:t>“</w:t>
      </w:r>
      <w:r>
        <w:rPr>
          <w:rFonts w:hint="eastAsia" w:ascii="仿宋" w:hAnsi="仿宋" w:eastAsia="仿宋"/>
          <w:color w:val="000000"/>
          <w:sz w:val="32"/>
        </w:rPr>
        <w:t>双一流</w:t>
      </w:r>
      <w:r>
        <w:rPr>
          <w:rFonts w:hint="default" w:ascii="仿宋" w:hAnsi="仿宋" w:eastAsia="仿宋"/>
          <w:color w:val="000000"/>
          <w:sz w:val="32"/>
        </w:rPr>
        <w:t>”</w:t>
      </w:r>
      <w:r>
        <w:rPr>
          <w:rFonts w:hint="eastAsia" w:ascii="仿宋" w:hAnsi="仿宋" w:eastAsia="仿宋"/>
          <w:color w:val="000000"/>
          <w:sz w:val="32"/>
        </w:rPr>
        <w:t>建设的实施案例分析；增强我国工程学科在全球工程教育体系中的话语权。</w:t>
      </w:r>
    </w:p>
    <w:p>
      <w:pPr>
        <w:spacing w:beforeLines="0" w:afterLines="0"/>
        <w:jc w:val="left"/>
        <w:rPr>
          <w:rFonts w:hint="eastAsia" w:ascii="黑体" w:hAnsi="黑体" w:eastAsia="黑体"/>
          <w:color w:val="000000"/>
          <w:sz w:val="32"/>
        </w:rPr>
      </w:pPr>
      <w:r>
        <w:rPr>
          <w:rFonts w:hint="eastAsia" w:ascii="黑体" w:hAnsi="黑体" w:eastAsia="黑体"/>
          <w:color w:val="000000"/>
          <w:sz w:val="32"/>
        </w:rPr>
        <w:t>4.新一代人工智能领域专业化人才培养研究</w:t>
      </w:r>
    </w:p>
    <w:p>
      <w:pPr>
        <w:spacing w:beforeLines="0" w:afterLines="0"/>
        <w:jc w:val="left"/>
        <w:rPr>
          <w:rFonts w:hint="eastAsia" w:ascii="仿宋" w:hAnsi="仿宋" w:eastAsia="仿宋"/>
          <w:color w:val="000000"/>
          <w:sz w:val="32"/>
        </w:rPr>
      </w:pPr>
      <w:r>
        <w:rPr>
          <w:rFonts w:hint="eastAsia" w:ascii="黑体" w:hAnsi="黑体" w:eastAsia="黑体"/>
          <w:color w:val="000000"/>
          <w:sz w:val="32"/>
        </w:rPr>
        <w:t>研究内容：</w:t>
      </w:r>
      <w:r>
        <w:rPr>
          <w:rFonts w:hint="eastAsia" w:ascii="仿宋" w:hAnsi="仿宋" w:eastAsia="仿宋"/>
          <w:color w:val="000000"/>
          <w:sz w:val="32"/>
        </w:rPr>
        <w:t>人工智能的应用促使制造业步入新一代智能制造阶段，即数字化、网络化、智能化制造阶段，这将把新一轮工业革命推向高潮。为配合《新一代人工智能发展规划》的实施，需要加强人工智能人才储备，开展完善人工智能教育体系和领域学科建设、开设物理信息系统（Cyber-Physical Systems）课程体系以及人工智能人才培养新模式等方向的研究。</w:t>
      </w:r>
    </w:p>
    <w:p>
      <w:pPr>
        <w:spacing w:beforeLines="0" w:afterLines="0"/>
        <w:jc w:val="left"/>
        <w:rPr>
          <w:rFonts w:hint="eastAsia" w:ascii="黑体" w:hAnsi="黑体" w:eastAsia="黑体"/>
          <w:color w:val="000000"/>
          <w:sz w:val="32"/>
        </w:rPr>
      </w:pPr>
      <w:r>
        <w:rPr>
          <w:rFonts w:hint="eastAsia" w:ascii="黑体" w:hAnsi="黑体" w:eastAsia="黑体"/>
          <w:color w:val="000000"/>
          <w:sz w:val="32"/>
        </w:rPr>
        <w:t>5.工程教育师资队伍建设研究</w:t>
      </w:r>
    </w:p>
    <w:p>
      <w:pPr>
        <w:spacing w:beforeLines="0" w:afterLines="0"/>
        <w:jc w:val="left"/>
        <w:rPr>
          <w:rFonts w:hint="eastAsia" w:ascii="仿宋" w:hAnsi="仿宋" w:eastAsia="仿宋"/>
          <w:color w:val="000000"/>
          <w:sz w:val="32"/>
        </w:rPr>
      </w:pPr>
      <w:r>
        <w:rPr>
          <w:rFonts w:hint="eastAsia" w:ascii="黑体" w:hAnsi="黑体" w:eastAsia="黑体"/>
          <w:color w:val="000000"/>
          <w:sz w:val="32"/>
        </w:rPr>
        <w:t>研究内容：</w:t>
      </w:r>
      <w:r>
        <w:rPr>
          <w:rFonts w:hint="eastAsia" w:ascii="仿宋" w:hAnsi="仿宋" w:eastAsia="仿宋"/>
          <w:color w:val="000000"/>
          <w:sz w:val="32"/>
        </w:rPr>
        <w:t>聚焦于提升工科教师的教学能力、工程实践能力和国际交流能力，建立适合工程专业人才培养需要、科</w:t>
      </w:r>
      <w:bookmarkStart w:id="0" w:name="_GoBack"/>
      <w:bookmarkEnd w:id="0"/>
      <w:r>
        <w:rPr>
          <w:rFonts w:hint="eastAsia" w:ascii="仿宋" w:hAnsi="仿宋" w:eastAsia="仿宋"/>
          <w:color w:val="000000"/>
          <w:sz w:val="32"/>
        </w:rPr>
        <w:t>学合理的工科教师评价标准，以及促进工科教师专业发展的激励机制、支持机制等方面。应注重对我国各类型高校工程教育师资队伍现状深入调研，总结高水平师资队伍建设的成功经验，认真分析存在的问题，提出有针对性和具体的政策建议。</w:t>
      </w:r>
    </w:p>
    <w:p>
      <w:pPr>
        <w:spacing w:beforeLines="0" w:afterLines="0"/>
        <w:jc w:val="left"/>
        <w:rPr>
          <w:rFonts w:hint="eastAsia" w:ascii="黑体" w:hAnsi="黑体" w:eastAsia="黑体"/>
          <w:color w:val="000000"/>
          <w:sz w:val="32"/>
        </w:rPr>
      </w:pPr>
      <w:r>
        <w:rPr>
          <w:rFonts w:hint="eastAsia" w:ascii="黑体" w:hAnsi="黑体" w:eastAsia="黑体"/>
          <w:color w:val="000000"/>
          <w:sz w:val="32"/>
        </w:rPr>
        <w:t>6.工程技术人才国际化能力培养体系研究</w:t>
      </w:r>
    </w:p>
    <w:p>
      <w:pPr>
        <w:spacing w:beforeLines="0" w:afterLines="0"/>
        <w:jc w:val="left"/>
        <w:rPr>
          <w:rFonts w:hint="eastAsia" w:ascii="仿宋" w:hAnsi="仿宋" w:eastAsia="仿宋"/>
          <w:color w:val="000000"/>
          <w:sz w:val="32"/>
        </w:rPr>
      </w:pPr>
      <w:r>
        <w:rPr>
          <w:rFonts w:hint="eastAsia" w:ascii="黑体" w:hAnsi="黑体" w:eastAsia="黑体"/>
          <w:color w:val="000000"/>
          <w:sz w:val="32"/>
        </w:rPr>
        <w:t>研究内容：</w:t>
      </w:r>
      <w:r>
        <w:rPr>
          <w:rFonts w:hint="eastAsia" w:ascii="仿宋" w:hAnsi="仿宋" w:eastAsia="仿宋"/>
          <w:color w:val="000000"/>
          <w:sz w:val="32"/>
        </w:rPr>
        <w:t>加强国家工程科技创新能力开放合作；深入研究和构建我国工程技术人才的国际化能力培养体系，建立多层次的国际合作办学模式，加强国际来华工科学生培养模式研究，工科学生国际科技交流与人文交流素质研究。根据</w:t>
      </w:r>
      <w:r>
        <w:rPr>
          <w:rFonts w:hint="default" w:ascii="仿宋" w:hAnsi="仿宋" w:eastAsia="仿宋"/>
          <w:color w:val="000000"/>
          <w:sz w:val="32"/>
        </w:rPr>
        <w:t>“</w:t>
      </w:r>
      <w:r>
        <w:rPr>
          <w:rFonts w:hint="eastAsia" w:ascii="仿宋" w:hAnsi="仿宋" w:eastAsia="仿宋"/>
          <w:color w:val="000000"/>
          <w:sz w:val="32"/>
        </w:rPr>
        <w:t>一带一路</w:t>
      </w:r>
      <w:r>
        <w:rPr>
          <w:rFonts w:hint="default" w:ascii="仿宋" w:hAnsi="仿宋" w:eastAsia="仿宋"/>
          <w:color w:val="000000"/>
          <w:sz w:val="32"/>
        </w:rPr>
        <w:t>”</w:t>
      </w:r>
      <w:r>
        <w:rPr>
          <w:rFonts w:hint="eastAsia" w:ascii="仿宋" w:hAnsi="仿宋" w:eastAsia="仿宋"/>
          <w:color w:val="000000"/>
          <w:sz w:val="32"/>
        </w:rPr>
        <w:t>规划的战略要求，与</w:t>
      </w:r>
      <w:r>
        <w:rPr>
          <w:rFonts w:hint="default" w:ascii="仿宋" w:hAnsi="仿宋" w:eastAsia="仿宋"/>
          <w:color w:val="000000"/>
          <w:sz w:val="32"/>
        </w:rPr>
        <w:t>“</w:t>
      </w:r>
      <w:r>
        <w:rPr>
          <w:rFonts w:hint="eastAsia" w:ascii="仿宋" w:hAnsi="仿宋" w:eastAsia="仿宋"/>
          <w:color w:val="000000"/>
          <w:sz w:val="32"/>
        </w:rPr>
        <w:t>一带一路</w:t>
      </w:r>
      <w:r>
        <w:rPr>
          <w:rFonts w:hint="default" w:ascii="仿宋" w:hAnsi="仿宋" w:eastAsia="仿宋"/>
          <w:color w:val="000000"/>
          <w:sz w:val="32"/>
        </w:rPr>
        <w:t>”</w:t>
      </w:r>
      <w:r>
        <w:rPr>
          <w:rFonts w:hint="eastAsia" w:ascii="仿宋" w:hAnsi="仿宋" w:eastAsia="仿宋"/>
          <w:color w:val="000000"/>
          <w:sz w:val="32"/>
        </w:rPr>
        <w:t>沿线国家和地区加强产学研合作，实现工程人才与技术的</w:t>
      </w:r>
      <w:r>
        <w:rPr>
          <w:rFonts w:hint="default" w:ascii="仿宋" w:hAnsi="仿宋" w:eastAsia="仿宋"/>
          <w:color w:val="000000"/>
          <w:sz w:val="32"/>
        </w:rPr>
        <w:t>“</w:t>
      </w:r>
      <w:r>
        <w:rPr>
          <w:rFonts w:hint="eastAsia" w:ascii="仿宋" w:hAnsi="仿宋" w:eastAsia="仿宋"/>
          <w:color w:val="000000"/>
          <w:sz w:val="32"/>
        </w:rPr>
        <w:t>走出去</w:t>
      </w:r>
      <w:r>
        <w:rPr>
          <w:rFonts w:hint="default" w:ascii="仿宋" w:hAnsi="仿宋" w:eastAsia="仿宋"/>
          <w:color w:val="000000"/>
          <w:sz w:val="32"/>
        </w:rPr>
        <w:t>”</w:t>
      </w:r>
      <w:r>
        <w:rPr>
          <w:rFonts w:hint="eastAsia" w:ascii="仿宋" w:hAnsi="仿宋" w:eastAsia="仿宋"/>
          <w:color w:val="000000"/>
          <w:sz w:val="32"/>
        </w:rPr>
        <w:t>和</w:t>
      </w:r>
      <w:r>
        <w:rPr>
          <w:rFonts w:hint="default" w:ascii="仿宋" w:hAnsi="仿宋" w:eastAsia="仿宋"/>
          <w:color w:val="000000"/>
          <w:sz w:val="32"/>
        </w:rPr>
        <w:t>“</w:t>
      </w:r>
      <w:r>
        <w:rPr>
          <w:rFonts w:hint="eastAsia" w:ascii="仿宋" w:hAnsi="仿宋" w:eastAsia="仿宋"/>
          <w:color w:val="000000"/>
          <w:sz w:val="32"/>
        </w:rPr>
        <w:t>引进来</w:t>
      </w:r>
      <w:r>
        <w:rPr>
          <w:rFonts w:hint="default" w:ascii="仿宋" w:hAnsi="仿宋" w:eastAsia="仿宋"/>
          <w:color w:val="000000"/>
          <w:sz w:val="32"/>
        </w:rPr>
        <w:t>”</w:t>
      </w:r>
      <w:r>
        <w:rPr>
          <w:rFonts w:hint="eastAsia" w:ascii="仿宋" w:hAnsi="仿宋" w:eastAsia="仿宋"/>
          <w:color w:val="000000"/>
          <w:sz w:val="32"/>
        </w:rPr>
        <w:t>，并就支撑</w:t>
      </w:r>
      <w:r>
        <w:rPr>
          <w:rFonts w:hint="default" w:ascii="仿宋" w:hAnsi="仿宋" w:eastAsia="仿宋"/>
          <w:color w:val="000000"/>
          <w:sz w:val="32"/>
        </w:rPr>
        <w:t>“</w:t>
      </w:r>
      <w:r>
        <w:rPr>
          <w:rFonts w:hint="eastAsia" w:ascii="仿宋" w:hAnsi="仿宋" w:eastAsia="仿宋"/>
          <w:color w:val="000000"/>
          <w:sz w:val="32"/>
        </w:rPr>
        <w:t>一带一路</w:t>
      </w:r>
      <w:r>
        <w:rPr>
          <w:rFonts w:hint="default" w:ascii="仿宋" w:hAnsi="仿宋" w:eastAsia="仿宋"/>
          <w:color w:val="000000"/>
          <w:sz w:val="32"/>
        </w:rPr>
        <w:t>”</w:t>
      </w:r>
      <w:r>
        <w:rPr>
          <w:rFonts w:hint="eastAsia" w:ascii="仿宋" w:hAnsi="仿宋" w:eastAsia="仿宋"/>
          <w:color w:val="000000"/>
          <w:sz w:val="32"/>
        </w:rPr>
        <w:t>经济合作与发展等提出相关政策建议。</w:t>
      </w:r>
    </w:p>
    <w:p>
      <w:pPr>
        <w:spacing w:beforeLines="0" w:afterLines="0"/>
        <w:jc w:val="left"/>
        <w:rPr>
          <w:rFonts w:hint="eastAsia" w:ascii="黑体" w:hAnsi="黑体" w:eastAsia="黑体"/>
          <w:color w:val="000000"/>
          <w:sz w:val="32"/>
        </w:rPr>
      </w:pPr>
      <w:r>
        <w:rPr>
          <w:rFonts w:hint="eastAsia" w:ascii="黑体" w:hAnsi="黑体" w:eastAsia="黑体"/>
          <w:color w:val="000000"/>
          <w:sz w:val="32"/>
        </w:rPr>
        <w:t>7.工程技术人才继续教育机制研究</w:t>
      </w:r>
    </w:p>
    <w:p>
      <w:r>
        <w:rPr>
          <w:rFonts w:hint="eastAsia" w:ascii="黑体" w:hAnsi="黑体" w:eastAsia="黑体"/>
          <w:color w:val="000000"/>
          <w:sz w:val="32"/>
        </w:rPr>
        <w:t>研究内容：</w:t>
      </w:r>
      <w:r>
        <w:rPr>
          <w:rFonts w:hint="eastAsia" w:ascii="仿宋" w:hAnsi="仿宋" w:eastAsia="仿宋"/>
          <w:color w:val="000000"/>
          <w:sz w:val="32"/>
        </w:rPr>
        <w:t xml:space="preserve">从完善继续教育的角度，针对我国继续工程教育的现状和发展趋势，以服务工程科技人员能力再提升为导向，围绕政府部门角色定位、发挥企业主体作用、激发社会培训资源、市场机制实现方式等内容开展研究并提出相关政策建议。 </w:t>
      </w:r>
    </w:p>
    <w:sectPr>
      <w:pgSz w:w="11906" w:h="17338"/>
      <w:pgMar w:top="2020" w:right="1704" w:bottom="1420" w:left="1702"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86"/>
    <w:family w:val="swiss"/>
    <w:pitch w:val="default"/>
    <w:sig w:usb0="00000000" w:usb1="00000000" w:usb2="00000000" w:usb3="00000000" w:csb0="00040000" w:csb1="00000000"/>
  </w:font>
  <w:font w:name="FZXiaoBiaoSong-B05S">
    <w:altName w:val="宋体"/>
    <w:panose1 w:val="00000000000000000000"/>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8F85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eastAsia" w:ascii="FangSong_GB2312" w:hAnsi="FangSong_GB2312" w:eastAsia="FangSong_GB2312"/>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2018-03-05T07:50:00Z</dcterms:created>
  <dc:creator>小如</dc:creator>
  <cp:lastModifiedBy>小如</cp:lastModifiedBy>
  <dcterms:modified xsi:type="dcterms:W3CDTF">2018-03-05T07:51:08Z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